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153</w:t>
      </w:r>
    </w:p>
    <w:p>
      <w:r>
        <w:t>Bundesgericht (BGE), 1997-04-08, DE</w:t>
      </w:r>
    </w:p>
    <w:p>
      <w:r>
        <w:rPr>
          <w:b/>
        </w:rPr>
        <w:t xml:space="preserve">Quelle: </w:t>
      </w:r>
      <w:r>
        <w:t>https://mcp.opencaselaw.ch/entscheid/bge_123 II 153</w:t>
      </w:r>
    </w:p>
    <w:p>
      <w:r>
        <w:t>FR: ATF 123 II 153</w:t>
      </w:r>
    </w:p>
    <w:p>
      <w:r>
        <w:t>IT: DTF 123 II 153</w:t>
      </w:r>
    </w:p>
    <w:p>
      <w:pPr>
        <w:pStyle w:val="Heading2"/>
      </w:pPr>
      <w:r>
        <w:t>Regeste</w:t>
      </w:r>
    </w:p>
    <w:p>
      <w:r>
        <w:t>Regeste Rechtshilfe in Strafsachen. Bundesgesetz vom 20. März 1981 über internationale Rechtshilfe in Strafsachen (Rechtshilfegesetz, IRSG). Europäisches Übereinkommen über die Rechtshilfe in Strafsachen vom 20. April 1959 (EUeR). Italienische Strafprozessordnung vom 22. September 1988 (CPPit.). Zulässigkeit der gegen eine Zwischenverfügung erhobenen Verwaltungsgerichtsbeschwerde. Frage offen gelassen, ob aufgrund der neuen Art. 80e, 80g und 110a IRSG auf die Verwaltungsgerichtsbeschwerde einzutreten ist (E. 1). Legitimation. In Rechtshilfesachen ist der nur wirtschaftlich an einer juristischen Person Berechtigte ausnahmsweise zur Beschwerdeführung legitimiert, wenn die juristische Person aufgelöst worden ist und deshalb nicht mehr handlungsfähig ist (Präzisierung der Rechtsprechung; E. 2). Verweigerung der Rechtshilfe wegen angeblicher Überschreitung der Fristen des italienischen Strafprozessrechts? Die Rechtshilfe darf gemäss Art. 2 lit. b EUeR wegen eines Verstosses gegen das ausländische Strafprozessrecht nur dann verweigert werden, wenn mit dem Verstoss gegen das ausländische Strafprozessrecht zugleich eine Minimalgarantie der EMRK verletzt wird. Die Überschreitung einer Frist der italienischen Strafprozessordnung verstösst nur dann gegen die EMRK, wenn sie einer Verletzung des strafprozessualen Beschleunigungsgebotes nach Art. 6 Ziff. 1 EMRK gleichkommt. Gemäss Art. 430 Ziff. 1 CPPit. sind rechtshilfeweise Erhebungen auch nach dem Erlass des Dekrets auf Einleitung des Hauptverfahrens zulässig (E. 5). Interessenabwägung zwischen dem Schutz des Bankgeheimnisses und der Rechtshilfeleistung. Wenn die übrigen Voraussetzungen der Rechtshilfe, besonders aber die Anforderungen an die Einhaltung der Menschenrechte im ausländischen Strafverfahren erfüllt sind, rechtfertigt es sich kaum je, allein zum Schutz des schweizerischen Bankgeheimnisses die Rechtshilfe zu verweigern (E. 7).</w:t>
      </w:r>
    </w:p>
    <w:p>
      <w:pPr>
        <w:pStyle w:val="Heading2"/>
      </w:pPr>
      <w:r>
        <w:t>Erwägungen</w:t>
      </w:r>
    </w:p>
    <w:p>
      <w:r>
        <w:rPr>
          <w:b/>
        </w:rPr>
        <w:t>E. 1</w:t>
      </w:r>
    </w:p>
    <w:p>
      <w:r>
        <w:t>Am 1. Februar 1997 trat die Änderung vom 4. Oktober 1996 des Bundesgesetzes vom 20. März 1981 über internationale Rechtshilfe in Strafsachen (Rechtshilfegesetz, IRSG; SR 351.1; AS 1997 113) in Kraft. Seit demselben Tag steht auch die Änderung vom 9. Dezember 1996 der Verordnung des Bundesrates vom 24. Februar BGE 123 II 153 S. 156 1982 über internationale Rechtshilfe in Strafsachen (Rechtshilfeverordnung, IRSV; SR 351.11) in Kraft. Gemäss dem neuen Art. 110a IRSG gelten die Änderungen des Gesetzes auch für alle Verfahren, die beim Inkrafttreten der Änderung hängig, aber noch nicht abgeschlossen sind. Die Verwaltungsgerichtsbeschwerde ist nach Art. 80e und 80g nur noch gegen die Schlussverfügung zulässig, es sei denn, die vorangehende Zwischenverfügung habe einen unmittelbaren und nicht wieder gutzumachenden Nachteil zur Folge. Im vorliegenden Fall, in welchem eine Zwischenverfügung im Sinne des geänderten Rechtshilfegesetzes angefochten wird, braucht indessen nicht geprüft zu werden, ob die Verwaltungsgerichtsbeschwerde in dieser Hinsicht zulässig ist, weil sie sich aus anderen Gründen als unzulässig oder unbegründet erweist.</w:t>
      </w:r>
    </w:p>
    <w:p>
      <w:r>
        <w:rPr>
          <w:b/>
        </w:rPr>
        <w:t>E. 2</w:t>
      </w:r>
    </w:p>
    <w:p>
      <w:r>
        <w:t>a) Nach Art. 80h lit. b IRSG ist zur Beschwerdeführung berechtigt, wer persönlich und direkt von einer Rechtshilfemassnahme betroffen ist und ein schutzwürdiges Interesse an deren Aufhebung oder Änderung hat. Art. 111 Abs. 1 IRSG ermächtigt den Bundesrat, Ausführungsbestimmungen zu erlassen. In Art. 9a lit. a IRSV regelte der Bundesrat Einzelheiten im Zusammenhang mit der Beschwerdelegitimation. Diese Bestimmung bezeichnet bei der Erhebung von Kontoinformationen namentlich den Kontoinhaber als persönlich und direkt betroffen im Sinne von Art. 80h IRSG . b) Nach der Rechtsprechung des Bundesgerichts - die auch nach Inkrafttreten der revidierten IRSG- und IRSV-Bestimmungen ihre Gültigkeit hat - ist im Bereich der internationalen Rechtshilfe in Strafsachen eine natürliche oder juristische Person zu Rechtsmitteln legitimiert, wenn sie von der verlangten Rechtshilfemassnahme unmittelbar betroffen wird, ohne dass sie ein rechtlich geschütztes Interesse geltend machen müsste. Ein schutzwürdiges Interesse liegt indessen nicht schon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 BGE 118 Ib 442 E. 2b). Das Bundesgericht anerkennt deshalb die Legitimation jeder natürlichen oder juristischen Person, die von einer Rechtshilfemassnahme unmittelbar berührt wird, verneint dagegen die Beschwerdebefugnis von Personen, die nur mittelbar von der angefochtenen Verfügung betroffen sind ( BGE 122 II 130 BGE 123 II 153 S. 157 E. 2b, mit Hinweisen). Bei der Erhebung von Kontoinformationen wird der Inhaber des Kontos von der Rechtshilfemassnahme unmittelbar betroffen, weshalb ihn die Rechtsprechung als legitimiert betrachtet. Dasselbe gilt auch für die Person, gegen die unmittelbar eine Zwangsmassnahme angeordnet wurde. Weitere Personen gelten indessen nicht als legitimiert, vor allem nicht diejenigen Personen, die zwar in den Kontounterlagen erwähnt werden, aber nicht Inhaber des betroffenen Kontos sind (z.B. BGE 121 II 38 E. 1b; BGE 118 Ib 442 E. 2a; BGE 116 Ib 106 E. 2a). c) In der zitierten Rechtsprechung wurden allerdings Personen, die am Bankkonto nur wirtschaftlich berechtigt, aber nicht Inhaber des Kontos sind, nicht für jeden Fall und unter allen Umständen von der Legitimation zur Verwaltungsgerichtsbeschwerde ausgeschlossen. Auch der neue Art. 9a IRSV lässt sich wegen der Verwendung des Wortes "namentlich" dahin auslegen, dass über die Aufzählung in lit. a bis c der Verordnungsbestimmung hinaus weitere Fälle denkbar sind, in denen bestimmte Personen zu Rechtsmitteln legitimiert sein könnten. Das Bundesgericht begründete den Ausschluss des bloss wirtschaftlich an einem Konto Berechtigten von der Rechtsmittellegitimation gelegentlich damit, wer eine juristische Person als Kontoinhaber vorschiebe, müsse die Nachteile dieses Vorgehens in Kauf nehmen; in diesem Falle könne sich die juristische Person anstelle der nur wirtschaftlich am Konto berechtigten natürlichen Person gegen die Rechtshilfemassnahmen wehren. Diese Begründung passt indessen nicht auf den Fall, in welchem die juristische Person, welche als Kontoinhaberin geführt wird, nicht mehr besteht und deshalb keine Rechtsmittel mehr ergreifen kann. Erscheint in den Kontounterlagen eine seit der Eröffnung des Kontos aufgelöste juristische Person als einzige Inhaberin des Kontos, wird der am Konto wirtschaftlich berechtigten Person nur dann ein genügender rechtlicher Schutz gegenüber Rechtshilfemassnahmen gewährt, wenn sie selbst zur Verwaltungsgerichtsbeschwerde zugelassen wird. In diesem Sinn ist die Rechtsprechung des Bundesgerichts zu präzisieren. d) Im vorliegenden Fall macht die Beschwerdeführerin 1 geltend, sie sei am Bankkonto, welches von den verlangten Rechtshilfemassnahmen betroffen wird, wirtschaftlich berechtigt, Inhaberin des Kontos sei aber eine seit der Eröffnung des Kontos aufgelöste Gesellschaft. Die kantonalen Behörden und das Bundesamt für Polizeiwesen bestreiten diesen Sachverhalt nicht. Es bestehen sodann keinerlei Anhaltspunkte, dass die Auflösung der Konto-Inhaberin BGE 123 II 153 S. 158 nur vorgeschoben oder rechtsmissbräuchlich wäre. Die Beschwerdeführerin 1 ist somit zur Verwaltungsgerichtsbeschwerde legitimiert, weil sich sonst niemand gegen die Rechtshilfemassnahmen, welche die Beschwerdeführerin nicht rechtlich, wohl aber wirtschaftlich betreffen, wehren könnte.</w:t>
      </w:r>
    </w:p>
    <w:p>
      <w:r>
        <w:rPr>
          <w:b/>
        </w:rPr>
        <w:t>E. 5</w:t>
      </w:r>
    </w:p>
    <w:p>
      <w:r>
        <w:t>a) In materiell-rechtlicher Beziehung rügen die Beschwerdeführer, das Strafverfahren in Italien verstosse gegen Bestimmungen der italienischen Strafprozessordnung vom 22. September 1988 (CPP). Gemäss Art. 407 Ziff. 2 lit. c CPP dürften die Vorerhebungen nicht mehr als zwei Jahre dauern, wenn auch im Ausland Akten erhoben werden müssen. Diese Frist sei im vorliegenden Fall überschritten worden, weshalb die Akten, welche allenfalls im Rechtshilfeverfahren erhoben würden, im italienischen Strafverfahren nicht mehr verwendet werden dürfen. Aus dem Rechtshilfeersuchen der italienischen Staatsanwaltschaft vom 31. Juli 1996 gehe ausserdem hervor, dass gegen die Beschuldigten bereits Anklage erhoben worden sei. Nach den Art. 416 Abs. 2 und Art. 417 Abs. 1 lit. c CPP dürfe die Staatsanwaltschaft keine neuen Beweismittel mehr erheben, wenn sie das Gesuch um Anklageerhebung bereits gestellt habe. Auch in dieser Hinsicht verstosse das Rechtshilfeverfahren gegen das ita-lienische Strafprozessrecht. Das italienische Strafverfahren leide somit an einem schweren Mangel, weshalb gemäss Art. 2 lit. a und d IRSG keine Rechtshilfe geleistet werden dürfe. b) Rechtshilfeersuchen sind in erster Linie nach den massgebenden internationalen Verträgen zu beurteilen, im vorliegenden Fall also nach dem Europäischen Übereinkommen über die Rechtshilfe in Strafsachen vom 20. April 1959 (EUeR, SR 0.351.1), dem sowohl Italien als auch die Schweiz beigetreten sind. Ergänzend ist das autonome Recht der Schweiz, also das IRSG und die dazugehörige Ausführungsverordnung vom 24. Februar 1982 (IRSV, SR 351.11), heranzuziehen (vgl. Art. 1 Abs. 1 IRSG ). Das gilt in erster Linie für Fragen des schweizerischen Verfahrens. Für die Frage, ob die Rechtshilfe zulässig sei, ist aber allein das Übereinkommen massgebend, es sei denn, das Landesrecht erlaube eine weitergehende Rechtshilfe. c) Nach Art. 2 lit. b EUeR kann die Rechtshilfe verweigert werden, wenn der ersuchte Staat der Ansicht ist, dass die Erledigung des Ersuchens geeignet ist, die Souveränität, die Sicherheit, die öffentliche Ordnung (ordre public) oder andere wesentliche Interessen seines Landes zu beeinträchtigen. Mit dieser Bestimmung soll vermieden BGE 123 II 153 S. 159 werden, dass ein Vertragsstaat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 BGE 115 Ib 87 mit weiteren Hinweisen). Verstösst das Strafverfahren im Ausland gegen das massgebliche ausländische Strafprozessrecht, so darf nur dann keine Rechtshilfe gewährt werden, wenn mit dem Verstoss gegen das ausländische Strafprozessrecht zugleich eine in der EMRK umschriebene Minimalgarantie verletzt wird. d) Die von den Beschwerdeführern angerufenen Bestimmungen der italienischen Strafprozessordnung dienen hauptsächlich der Beschleunigung des Verfahrens. Gemäss Art. 6 Ziff. 1 EMRK hat der Angeklagte Anspruch darauf, dass über seine Sache innerhalb einer angemessenen Frist entschieden wird. Die EMRK legt indessen keine genau bestimmte und in sämtlichen Straffällen gültige Frist fest, innerhalb welcher Anklage erhoben und über die Sache entschieden werden muss. Daher bedeutet es für sich allein keinen Verstoss gegen das Beschleunigungsgebot nach Art. 6 Ziff. 1 EMRK , wenn die Strafverfolgungsbehörden Fristen des nationalen Strafprozessrechts nicht einhalten. Im vorliegenden Fall behaupten die Beschwerdeführer nur, bestimmte Fristen des italienischen Strafprozessrechts seien überschritten worden. Sie nennen jedoch keinen Grund dafür, dass das Strafverfahren auch gegen Garantien der EMRK verstossen haben soll. Ihre Rüge einer Verletzung der Europäischen Menschenrechtskonvention erweist sich als unbegründet. e) Im übrigen ergibt sich bei einer summarischen Prüfung, dass die italienischen Strafverfolgungsbehörden gar keine Fristen des italienischen Strafprozessrechts überschritten haben. Es trifft zwar zu, dass Erhebungen im Strafverfahren nach Art. 407 Ziff. 3 CPP nicht verwertet werden dürfen, wenn sie erst nach Ablauf der zweijährigen Frist gemäss Art. 407 Ziff. 2 CPP getroffen worden sind und die Staatsanwaltschaft es unterlassen hat, die Anklage oder den Antrag auf Archivierung innerhalb der vom Gesetz festgesetzten oder vom Gericht verlängerten Frist zu stellen. Wie die Beschwerdeführer aber selbst ausführen, wurde gegen die Angeschuldigten bereits Anklage erhoben. Nach Art. 430 Ziff. 1 CPP kann die Staatsanwaltschaft auch nach dem Erlass des Dekrets auf Einleitung des Hauptverfahrens in BGE 123 II 153 S. 160 Rücksicht auf die an das Gericht zu stellenden Anträge ergänzende Erhebungen vornehmen, mit Ausnahme solcher Handlungen, für welche die Beteiligung des Angeklagten oder seines Verteidigers vorgesehen ist. Die Staatsanwaltschaft ist somit berechtigt, Auskünfte und Unterlagen, die ihr im Rechtshilfeverfahren aus der Schweiz übermittelt worden sind, im italienischen Strafverfahren zu verwenden. Das gilt umso mehr, als die Ermittlungen in der Schweiz ohne die Beteiligung der Angeklagten oder ihrer Verteidiger durchgeführt werden können.</w:t>
      </w:r>
    </w:p>
    <w:p>
      <w:r>
        <w:rPr>
          <w:b/>
        </w:rPr>
        <w:t>E. 7</w:t>
      </w:r>
    </w:p>
    <w:p>
      <w:r>
        <w:t>a) Die Beschwerdeführer machen weiter geltend, das Bankgeheimnis gehöre zu den wesentlichen Staatsinteressen der Schweiz und damit zum schweizerischen ordre public. Gemäss BGE 115 Ib 68 dürfe die Rechtshilfe nicht gewährt werden, wenn sie zu einer eigentlichen Aushöhlung des schweizerischen Bankgeheimnisses führen würde. Das Rechtshilfegesuch der Staatsanwaltschaft Bozen sei im Zusammenhang mit der italienischen Schmiergeldaffäre eingereicht worden, welche Hunderte, wenn nicht Tausende von schweizerischen und ausländischen Bankkunden betreffe, die im Vertrauen auf den Schutz des schweizerischen Bankgeheimnisses in der Schweiz Bankkonten eröffnet hätten. Weil nicht bekannt sei, wozu die verlangten Auskünfte und Unterlagen dienen sollten, überwiege das Schweizerische Interesse am Schutz des Bankgeheimnisses das Interesse Italiens am Strafverfahren. b) Dem Bankgeheimnis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Wesentliche Interessen der Schweiz sind dann nicht betroffen, wenn die Rechtshilfe nur dazu führt, eine Auskunft über die Bankbeziehungen einiger weniger in- oder ausländischer Kunden zu erteilen. Die Rechtshilfe kann aber verweigert werden, wenn es sich bei der vom ausländischen Staat verlangten Auskunft um eine solche handelt, deren Preisgabe das Bankgeheimnis geradezu aushöhlen oder der ganzen schweizerischen Wirtschaft Schaden zufügen würde ( BGE 115 Ib 68 E. 4b [S. 83], mit Hinweisen). c) Im vorliegenden Fall geht es nur darum, über die Bankbeziehungen einiger weniger Bankkunden Auskunft zu erteilen. Die Beschwerdeführer befürchten aber, dass potentielle in- und ausländische Bankkunden ihr Vertrauen auf das schweizerische Bankgeheimnis BGE 123 II 153 S. 161 verlieren könnten, wenn die Schweiz den italienischen Behörden in Korruptionsfällen Auskunft über Bankbeziehungen erteile. Indessen wird das Ansehen der Schweiz im Ausland weit mehr geschädigt, wenn sie ihre staatsvertraglichen Pflichten nicht erfüllt. Besonders betroffen wird das Ansehen der schweizerischen Banken, wenn Geldbeträge, die durch Straftaten erworben wurden, in der Schweiz angelegt werden können, ohne dass die ausländischen Behörden davon erfahren könnten. Wenn die übrigen Voraussetzungen der Rechtshilfe, besonders aber die Anforderungen an die Einhaltung der Menschenrechte im ausländischen Strafverfahren erfüllt sind, dürfte es sich kaum je rechtfertigen, allein zum Schutz des schweizerischen Bankgeheimnisses die Rechtshilfe zu verweigern. Daher gibt es keinen Grund, das Interesse der Schweiz an der Aufrechterhaltung des Bankgeheimnisses höher zu bewerten als das Interesse des ausländischen Staates, Korruptionsfälle aufzuklären und die schuldigen Personen zu bestrafen. Die Rüge der Beschwerdeführer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